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4905" w14:textId="77777777" w:rsidR="001F5178" w:rsidRDefault="00897D89">
      <w:pPr>
        <w:pStyle w:val="BodyText"/>
        <w:ind w:left="112"/>
        <w:rPr>
          <w:rFonts w:ascii="Times New Roman"/>
          <w:sz w:val="20"/>
        </w:rPr>
      </w:pPr>
      <w:r>
        <w:pict w14:anchorId="7C3F70F5">
          <v:group id="_x0000_s1026" style="position:absolute;left:0;text-align:left;margin-left:-1pt;margin-top:65.25pt;width:614pt;height:686.35pt;z-index:-251658240;mso-position-horizontal-relative:page;mso-position-vertical-relative:page" coordorigin="-20,1305" coordsize="12280,13727">
            <v:shape id="_x0000_s1030" style="position:absolute;top:1324;width:12240;height:13687" coordorigin=",1325" coordsize="12240,13687" path="m,15005r336,l465,15012r66,-28l556,14894r3,-179l559,14710r,-8l559,14626r,-73l559,14460r1,-72l560,14307r,-89l560,14122r,-104l560,13907r1,-119l561,13726r,-63l561,13598r,-67l561,13463r,-70l561,13321r1,-73l562,13174r,-76l562,13021r,-79l562,12862r,-82l563,12698r,-84l563,12528r,-86l563,12354r,-89l563,12175r1,-91l564,11992r,-94l564,11804r,-95l564,11612r1,-97l565,11417r,-99l565,11218r,-101l566,11016r,-103l566,10810r,-103l566,10602r,-105l567,10391r,-106l567,10178r,-107l567,9963r1,-109l568,9745r,-109l568,9526r,-110l569,9306r,-111l569,9084r,-112l569,8861r1,-112l570,8637r,-112l570,8413r,-112l570,8188r1,-112l571,7964r,-113l571,7739r,-112l572,7515r,-112l572,7291r,-111l572,7068r1,-111l573,6847r,-111l573,6626r,-110l574,6407r,-109l574,6189r,-108l574,5974r,-107l575,5761r,-106l575,5550r,-105l575,5342r,-104l576,5136r,-101l576,4934r,-100l576,4735r,-98l577,4539r,-96l577,4347r,-94l577,4160r,-93l577,3976r1,-90l578,3797r,-88l578,3623r,-86l578,3453r,-83l578,3289r1,-80l579,3130r,-77l579,2977r,-75l579,2829r,-72l579,2687r,-68l579,2552r1,-65l580,2423r,-61l580,2301r,-115l580,2079r,-101l580,1885r,-85l580,1724r,-69l580,1595r44,-156l720,1359r96,-30l860,1325r11380,e" filled="f" strokecolor="#fdb813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84;top:2232;width:372;height:372">
              <v:imagedata r:id="rId5" o:title=""/>
            </v:shape>
            <v:shape id="_x0000_s1028" type="#_x0000_t75" style="position:absolute;left:7972;top:2258;width:3120;height:720">
              <v:imagedata r:id="rId6" o:title=""/>
            </v:shape>
            <v:line id="_x0000_s1027" style="position:absolute" from="11024,5072" to="10987,5072" strokecolor="red" strokeweight="1pt"/>
            <w10:wrap anchorx="page" anchory="page"/>
          </v:group>
        </w:pict>
      </w:r>
      <w:r>
        <w:rPr>
          <w:rFonts w:ascii="Times New Roman"/>
          <w:noProof/>
          <w:sz w:val="20"/>
        </w:rPr>
        <w:drawing>
          <wp:inline distT="0" distB="0" distL="0" distR="0" wp14:anchorId="28DD6509" wp14:editId="0FB324D4">
            <wp:extent cx="1923937" cy="52844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937" cy="52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1C09" w14:textId="77777777" w:rsidR="001F5178" w:rsidRDefault="001F5178">
      <w:pPr>
        <w:pStyle w:val="BodyText"/>
        <w:rPr>
          <w:rFonts w:ascii="Times New Roman"/>
          <w:sz w:val="20"/>
        </w:rPr>
      </w:pPr>
    </w:p>
    <w:p w14:paraId="3E56493B" w14:textId="28426002" w:rsidR="001F5178" w:rsidRDefault="001F5178">
      <w:pPr>
        <w:pStyle w:val="BodyText"/>
        <w:spacing w:before="10"/>
        <w:rPr>
          <w:rFonts w:ascii="Times New Roman"/>
          <w:sz w:val="26"/>
        </w:rPr>
      </w:pPr>
    </w:p>
    <w:p w14:paraId="0F442C9C" w14:textId="218DB188" w:rsidR="001F5178" w:rsidRDefault="00114965">
      <w:pPr>
        <w:spacing w:before="114" w:line="237" w:lineRule="auto"/>
        <w:ind w:left="698" w:right="5855"/>
        <w:rPr>
          <w:rFonts w:ascii="Century Gothic" w:hAnsi="Century Gothic"/>
          <w:sz w:val="33"/>
        </w:rPr>
      </w:pPr>
      <w:r w:rsidRPr="00114965">
        <w:drawing>
          <wp:anchor distT="0" distB="0" distL="114300" distR="114300" simplePos="0" relativeHeight="251658240" behindDoc="1" locked="0" layoutInCell="1" allowOverlap="1" wp14:anchorId="5998610B" wp14:editId="6698957B">
            <wp:simplePos x="0" y="0"/>
            <wp:positionH relativeFrom="column">
              <wp:posOffset>5280660</wp:posOffset>
            </wp:positionH>
            <wp:positionV relativeFrom="paragraph">
              <wp:posOffset>329565</wp:posOffset>
            </wp:positionV>
            <wp:extent cx="1376680" cy="483870"/>
            <wp:effectExtent l="0" t="0" r="0" b="0"/>
            <wp:wrapTight wrapText="bothSides">
              <wp:wrapPolygon edited="0">
                <wp:start x="0" y="0"/>
                <wp:lineTo x="0" y="20409"/>
                <wp:lineTo x="21221" y="20409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D89">
        <w:rPr>
          <w:rFonts w:ascii="Gilroy Bold" w:hAnsi="Gilroy Bold"/>
          <w:b/>
          <w:color w:val="007CB0"/>
          <w:sz w:val="41"/>
        </w:rPr>
        <w:t xml:space="preserve">Getting Started with </w:t>
      </w:r>
      <w:r w:rsidR="00897D89">
        <w:rPr>
          <w:rFonts w:ascii="Gilroy Bold" w:hAnsi="Gilroy Bold"/>
          <w:b/>
          <w:i/>
          <w:color w:val="007CB0"/>
          <w:sz w:val="42"/>
        </w:rPr>
        <w:t xml:space="preserve">Into </w:t>
      </w:r>
      <w:r w:rsidR="004E0019">
        <w:rPr>
          <w:rFonts w:ascii="Gilroy Bold Italic" w:hAnsi="Gilroy Bold Italic"/>
          <w:b/>
          <w:i/>
          <w:color w:val="007CB0"/>
          <w:sz w:val="41"/>
        </w:rPr>
        <w:t>AGA</w:t>
      </w:r>
      <w:proofErr w:type="gramStart"/>
      <w:r w:rsidR="004E0019" w:rsidRPr="004E0019">
        <w:rPr>
          <w:rFonts w:ascii="Gilroy Bold Italic" w:hAnsi="Gilroy Bold Italic"/>
          <w:bCs/>
          <w:iCs/>
          <w:color w:val="007CB0"/>
          <w:sz w:val="41"/>
          <w:vertAlign w:val="superscript"/>
        </w:rPr>
        <w:t>®</w:t>
      </w:r>
      <w:r w:rsidR="004E0019">
        <w:rPr>
          <w:rFonts w:ascii="Gilroy Bold Italic" w:hAnsi="Gilroy Bold Italic"/>
          <w:b/>
          <w:i/>
          <w:color w:val="007CB0"/>
          <w:sz w:val="41"/>
        </w:rPr>
        <w:t xml:space="preserve"> </w:t>
      </w:r>
      <w:r w:rsidR="00897D89">
        <w:rPr>
          <w:rFonts w:ascii="Gilroy Bold" w:hAnsi="Gilroy Bold"/>
          <w:b/>
          <w:color w:val="007CB0"/>
          <w:position w:val="14"/>
          <w:sz w:val="24"/>
        </w:rPr>
        <w:t xml:space="preserve"> </w:t>
      </w:r>
      <w:r w:rsidR="00897D89">
        <w:rPr>
          <w:rFonts w:ascii="Gilroy Bold Italic" w:hAnsi="Gilroy Bold Italic"/>
          <w:b/>
          <w:i/>
          <w:color w:val="007CB0"/>
          <w:sz w:val="41"/>
        </w:rPr>
        <w:t>2020</w:t>
      </w:r>
      <w:proofErr w:type="gramEnd"/>
      <w:r w:rsidR="00897D89">
        <w:rPr>
          <w:rFonts w:ascii="Gilroy Bold Italic" w:hAnsi="Gilroy Bold Italic"/>
          <w:b/>
          <w:i/>
          <w:color w:val="007CB0"/>
          <w:sz w:val="41"/>
        </w:rPr>
        <w:t xml:space="preserve"> </w:t>
      </w:r>
      <w:r w:rsidR="00897D89">
        <w:rPr>
          <w:rFonts w:ascii="Century Gothic" w:hAnsi="Century Gothic"/>
          <w:color w:val="007CB0"/>
          <w:sz w:val="33"/>
        </w:rPr>
        <w:t>Course Agenda</w:t>
      </w:r>
    </w:p>
    <w:p w14:paraId="45701DC9" w14:textId="77777777" w:rsidR="001F5178" w:rsidRDefault="00897D89">
      <w:pPr>
        <w:tabs>
          <w:tab w:val="left" w:pos="10603"/>
        </w:tabs>
        <w:spacing w:before="253"/>
        <w:ind w:left="694"/>
        <w:rPr>
          <w:rFonts w:ascii="Gilroy Bold"/>
          <w:b/>
          <w:sz w:val="24"/>
        </w:rPr>
      </w:pPr>
      <w:r>
        <w:rPr>
          <w:rFonts w:ascii="Gilroy Bold"/>
          <w:b/>
          <w:color w:val="FFFFFF"/>
          <w:sz w:val="24"/>
          <w:shd w:val="clear" w:color="auto" w:fill="007CB0"/>
        </w:rPr>
        <w:t xml:space="preserve">  </w:t>
      </w:r>
      <w:r>
        <w:rPr>
          <w:rFonts w:ascii="Gilroy Bold"/>
          <w:b/>
          <w:color w:val="FFFFFF"/>
          <w:spacing w:val="1"/>
          <w:sz w:val="24"/>
          <w:shd w:val="clear" w:color="auto" w:fill="007CB0"/>
        </w:rPr>
        <w:t xml:space="preserve"> </w:t>
      </w:r>
      <w:r>
        <w:rPr>
          <w:rFonts w:ascii="Gilroy Bold"/>
          <w:b/>
          <w:color w:val="FFFFFF"/>
          <w:sz w:val="24"/>
          <w:shd w:val="clear" w:color="auto" w:fill="007CB0"/>
        </w:rPr>
        <w:t>OVERVIEW</w:t>
      </w:r>
      <w:r>
        <w:rPr>
          <w:rFonts w:ascii="Gilroy Bold"/>
          <w:b/>
          <w:color w:val="FFFFFF"/>
          <w:sz w:val="24"/>
          <w:shd w:val="clear" w:color="auto" w:fill="007CB0"/>
        </w:rPr>
        <w:tab/>
      </w:r>
    </w:p>
    <w:p w14:paraId="79337BF0" w14:textId="0C1F5558" w:rsidR="001F5178" w:rsidRDefault="00897D89">
      <w:pPr>
        <w:pStyle w:val="BodyText"/>
        <w:spacing w:before="208" w:line="232" w:lineRule="auto"/>
        <w:ind w:left="874" w:right="1016"/>
      </w:pPr>
      <w:r>
        <w:t xml:space="preserve">This course develops participants’ understanding of the research-based pedagogy and instructional strategies used throughout </w:t>
      </w:r>
      <w:r>
        <w:rPr>
          <w:rFonts w:ascii="Gilroy Bold" w:hAnsi="Gilroy Bold"/>
          <w:b/>
          <w:i/>
          <w:sz w:val="22"/>
        </w:rPr>
        <w:t xml:space="preserve">Into </w:t>
      </w:r>
      <w:r w:rsidR="00114965">
        <w:rPr>
          <w:rFonts w:ascii="Gilroy Bold" w:hAnsi="Gilroy Bold"/>
          <w:b/>
          <w:i/>
          <w:sz w:val="22"/>
        </w:rPr>
        <w:t>AGA</w:t>
      </w:r>
      <w:r>
        <w:rPr>
          <w:rFonts w:ascii="Gilroy Bold" w:hAnsi="Gilroy Bold"/>
          <w:b/>
          <w:i/>
          <w:sz w:val="22"/>
        </w:rPr>
        <w:t xml:space="preserve"> 2020 </w:t>
      </w:r>
      <w:r>
        <w:t xml:space="preserve">that contribute to increased conﬁdence, competence, and achievement in </w:t>
      </w:r>
      <w:bookmarkStart w:id="0" w:name="_GoBack"/>
      <w:r>
        <w:t>math</w:t>
      </w:r>
      <w:bookmarkEnd w:id="0"/>
      <w:r>
        <w:t>ematics.</w:t>
      </w:r>
    </w:p>
    <w:p w14:paraId="472690CF" w14:textId="77777777" w:rsidR="001F5178" w:rsidRDefault="001F5178">
      <w:pPr>
        <w:pStyle w:val="BodyText"/>
        <w:spacing w:before="9"/>
        <w:rPr>
          <w:sz w:val="22"/>
        </w:rPr>
      </w:pPr>
    </w:p>
    <w:p w14:paraId="2D8E4152" w14:textId="062B85FE" w:rsidR="001F5178" w:rsidRDefault="00897D89">
      <w:pPr>
        <w:pStyle w:val="BodyText"/>
        <w:spacing w:line="235" w:lineRule="auto"/>
        <w:ind w:left="874" w:right="1016"/>
      </w:pPr>
      <w:r>
        <w:t>Participants explore the unique</w:t>
      </w:r>
      <w:r>
        <w:t xml:space="preserve"> program components, engaging learning experiences, and built-in support as they begin their journey with </w:t>
      </w:r>
      <w:proofErr w:type="gramStart"/>
      <w:r>
        <w:t>Into</w:t>
      </w:r>
      <w:proofErr w:type="gramEnd"/>
      <w:r>
        <w:t xml:space="preserve"> </w:t>
      </w:r>
      <w:r w:rsidR="00B15312">
        <w:t>AGA</w:t>
      </w:r>
      <w:r>
        <w:t>.</w:t>
      </w:r>
    </w:p>
    <w:p w14:paraId="456CC4C0" w14:textId="77777777" w:rsidR="001F5178" w:rsidRDefault="001F5178">
      <w:pPr>
        <w:pStyle w:val="BodyText"/>
        <w:spacing w:before="5"/>
      </w:pPr>
    </w:p>
    <w:p w14:paraId="78C4CB0B" w14:textId="77777777" w:rsidR="001F5178" w:rsidRDefault="00897D89">
      <w:pPr>
        <w:ind w:left="875"/>
        <w:rPr>
          <w:rFonts w:ascii="Gilroy ExtraBold"/>
          <w:b/>
          <w:sz w:val="23"/>
        </w:rPr>
      </w:pPr>
      <w:r>
        <w:rPr>
          <w:rFonts w:ascii="Gilroy ExtraBold"/>
          <w:b/>
          <w:color w:val="007CB0"/>
          <w:sz w:val="23"/>
        </w:rPr>
        <w:t>LEARNING OUTCOMES</w:t>
      </w:r>
    </w:p>
    <w:p w14:paraId="30AE6846" w14:textId="77777777" w:rsidR="001F5178" w:rsidRDefault="001F5178">
      <w:pPr>
        <w:pStyle w:val="BodyText"/>
        <w:spacing w:before="3"/>
        <w:rPr>
          <w:rFonts w:ascii="Gilroy ExtraBold"/>
          <w:b/>
          <w:sz w:val="26"/>
        </w:rPr>
      </w:pPr>
    </w:p>
    <w:p w14:paraId="2DE301E6" w14:textId="01C4F13E" w:rsidR="001F5178" w:rsidRDefault="00897D89">
      <w:pPr>
        <w:pStyle w:val="ListParagraph"/>
        <w:numPr>
          <w:ilvl w:val="0"/>
          <w:numId w:val="1"/>
        </w:numPr>
        <w:tabs>
          <w:tab w:val="left" w:pos="1326"/>
        </w:tabs>
        <w:ind w:left="1325"/>
        <w:rPr>
          <w:sz w:val="21"/>
        </w:rPr>
      </w:pPr>
      <w:r>
        <w:rPr>
          <w:spacing w:val="-3"/>
          <w:sz w:val="21"/>
        </w:rPr>
        <w:t xml:space="preserve">Enrich daily instruction </w:t>
      </w:r>
      <w:r>
        <w:rPr>
          <w:sz w:val="21"/>
        </w:rPr>
        <w:t xml:space="preserve">by </w:t>
      </w:r>
      <w:r>
        <w:rPr>
          <w:spacing w:val="-3"/>
          <w:sz w:val="21"/>
        </w:rPr>
        <w:t xml:space="preserve">applying knowledge </w:t>
      </w:r>
      <w:r>
        <w:rPr>
          <w:sz w:val="21"/>
        </w:rPr>
        <w:t xml:space="preserve">of </w:t>
      </w:r>
      <w:r>
        <w:rPr>
          <w:rFonts w:ascii="Gilroy Bold" w:hAnsi="Gilroy Bold"/>
          <w:b/>
          <w:i/>
          <w:spacing w:val="-3"/>
        </w:rPr>
        <w:t xml:space="preserve">Into </w:t>
      </w:r>
      <w:r w:rsidR="00114965">
        <w:rPr>
          <w:rFonts w:ascii="Gilroy Bold" w:hAnsi="Gilroy Bold"/>
          <w:b/>
          <w:i/>
          <w:spacing w:val="-3"/>
        </w:rPr>
        <w:t>AGA</w:t>
      </w:r>
      <w:r>
        <w:rPr>
          <w:rFonts w:ascii="Gilroy Bold" w:hAnsi="Gilroy Bold"/>
          <w:b/>
          <w:i/>
          <w:spacing w:val="-3"/>
        </w:rPr>
        <w:t xml:space="preserve"> </w:t>
      </w:r>
      <w:r>
        <w:rPr>
          <w:spacing w:val="-3"/>
          <w:sz w:val="21"/>
        </w:rPr>
        <w:t xml:space="preserve">organization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pedagogy.</w:t>
      </w:r>
    </w:p>
    <w:p w14:paraId="78CC9E6E" w14:textId="73C92714" w:rsidR="001F5178" w:rsidRDefault="00897D89">
      <w:pPr>
        <w:pStyle w:val="ListParagraph"/>
        <w:numPr>
          <w:ilvl w:val="0"/>
          <w:numId w:val="1"/>
        </w:numPr>
        <w:tabs>
          <w:tab w:val="left" w:pos="1326"/>
        </w:tabs>
        <w:spacing w:before="26" w:line="237" w:lineRule="auto"/>
        <w:ind w:right="1098" w:hanging="246"/>
        <w:rPr>
          <w:sz w:val="21"/>
        </w:rPr>
      </w:pPr>
      <w:r>
        <w:rPr>
          <w:spacing w:val="-3"/>
          <w:sz w:val="21"/>
        </w:rPr>
        <w:t xml:space="preserve">Support differentiation, assessment, </w:t>
      </w:r>
      <w:r>
        <w:rPr>
          <w:sz w:val="21"/>
        </w:rPr>
        <w:t xml:space="preserve">and </w:t>
      </w:r>
      <w:r>
        <w:rPr>
          <w:spacing w:val="-3"/>
          <w:sz w:val="21"/>
        </w:rPr>
        <w:t xml:space="preserve">effective instruction using </w:t>
      </w:r>
      <w:r>
        <w:rPr>
          <w:rFonts w:ascii="Gilroy Bold" w:hAnsi="Gilroy Bold"/>
          <w:b/>
          <w:i/>
          <w:spacing w:val="-3"/>
        </w:rPr>
        <w:t xml:space="preserve">Into </w:t>
      </w:r>
      <w:r w:rsidR="00114965">
        <w:rPr>
          <w:rFonts w:ascii="Gilroy Bold" w:hAnsi="Gilroy Bold"/>
          <w:b/>
          <w:i/>
          <w:spacing w:val="-3"/>
        </w:rPr>
        <w:t>AGA</w:t>
      </w:r>
      <w:r>
        <w:rPr>
          <w:rFonts w:ascii="Gilroy Bold" w:hAnsi="Gilroy Bold"/>
          <w:b/>
          <w:i/>
          <w:spacing w:val="-3"/>
        </w:rPr>
        <w:t xml:space="preserve"> </w:t>
      </w:r>
      <w:r>
        <w:rPr>
          <w:spacing w:val="-3"/>
          <w:sz w:val="21"/>
        </w:rPr>
        <w:t xml:space="preserve">resources </w:t>
      </w:r>
      <w:r>
        <w:rPr>
          <w:sz w:val="21"/>
        </w:rPr>
        <w:t xml:space="preserve">and </w:t>
      </w:r>
      <w:r>
        <w:rPr>
          <w:spacing w:val="-3"/>
          <w:sz w:val="21"/>
        </w:rPr>
        <w:t>instructional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tools.</w:t>
      </w:r>
    </w:p>
    <w:p w14:paraId="5CE6E5E9" w14:textId="77777777" w:rsidR="001F5178" w:rsidRDefault="00897D89">
      <w:pPr>
        <w:pStyle w:val="ListParagraph"/>
        <w:numPr>
          <w:ilvl w:val="0"/>
          <w:numId w:val="1"/>
        </w:numPr>
        <w:tabs>
          <w:tab w:val="left" w:pos="1326"/>
        </w:tabs>
        <w:spacing w:before="37"/>
        <w:ind w:left="1325"/>
        <w:rPr>
          <w:sz w:val="21"/>
        </w:rPr>
      </w:pPr>
      <w:r>
        <w:rPr>
          <w:spacing w:val="-3"/>
          <w:sz w:val="21"/>
        </w:rPr>
        <w:t xml:space="preserve">Enhance instructional delivery </w:t>
      </w:r>
      <w:r>
        <w:rPr>
          <w:sz w:val="21"/>
        </w:rPr>
        <w:t xml:space="preserve">and </w:t>
      </w:r>
      <w:r>
        <w:rPr>
          <w:spacing w:val="-3"/>
          <w:sz w:val="21"/>
        </w:rPr>
        <w:t xml:space="preserve">student learning using </w:t>
      </w:r>
      <w:r>
        <w:rPr>
          <w:sz w:val="21"/>
        </w:rPr>
        <w:t>HMH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technology.</w:t>
      </w:r>
    </w:p>
    <w:p w14:paraId="210EF08A" w14:textId="77777777" w:rsidR="001F5178" w:rsidRDefault="00897D89">
      <w:pPr>
        <w:pStyle w:val="BodyText"/>
        <w:spacing w:before="321"/>
        <w:ind w:left="841"/>
      </w:pPr>
      <w:r>
        <w:t>This course is available as a half-day or full-day in-person course or via live webinar.</w:t>
      </w:r>
    </w:p>
    <w:p w14:paraId="552EB041" w14:textId="77777777" w:rsidR="001F5178" w:rsidRDefault="001F5178">
      <w:pPr>
        <w:pStyle w:val="BodyText"/>
        <w:spacing w:before="11"/>
        <w:rPr>
          <w:sz w:val="9"/>
        </w:rPr>
      </w:pPr>
    </w:p>
    <w:tbl>
      <w:tblPr>
        <w:tblW w:w="0" w:type="auto"/>
        <w:tblInd w:w="706" w:type="dxa"/>
        <w:tblBorders>
          <w:top w:val="single" w:sz="4" w:space="0" w:color="8CC4DB"/>
          <w:left w:val="single" w:sz="4" w:space="0" w:color="8CC4DB"/>
          <w:bottom w:val="single" w:sz="4" w:space="0" w:color="8CC4DB"/>
          <w:right w:val="single" w:sz="4" w:space="0" w:color="8CC4DB"/>
          <w:insideH w:val="single" w:sz="4" w:space="0" w:color="8CC4DB"/>
          <w:insideV w:val="single" w:sz="4" w:space="0" w:color="8CC4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6930"/>
      </w:tblGrid>
      <w:tr w:rsidR="001F5178" w14:paraId="7A5816BA" w14:textId="77777777">
        <w:trPr>
          <w:trHeight w:val="436"/>
        </w:trPr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3F9DC4"/>
          </w:tcPr>
          <w:p w14:paraId="7B2C8A72" w14:textId="77777777" w:rsidR="001F5178" w:rsidRDefault="00897D89">
            <w:pPr>
              <w:pStyle w:val="TableParagraph"/>
              <w:spacing w:before="85"/>
              <w:ind w:left="181"/>
              <w:rPr>
                <w:rFonts w:ascii="Gilroy Bold"/>
                <w:b/>
                <w:sz w:val="24"/>
              </w:rPr>
            </w:pPr>
            <w:r>
              <w:rPr>
                <w:rFonts w:ascii="Gilroy Bold"/>
                <w:b/>
                <w:color w:val="FFFFFF"/>
                <w:sz w:val="24"/>
              </w:rPr>
              <w:t>TOPICS</w:t>
            </w:r>
          </w:p>
        </w:tc>
        <w:tc>
          <w:tcPr>
            <w:tcW w:w="6930" w:type="dxa"/>
            <w:tcBorders>
              <w:top w:val="nil"/>
              <w:bottom w:val="nil"/>
              <w:right w:val="nil"/>
            </w:tcBorders>
            <w:shd w:val="clear" w:color="auto" w:fill="3F9DC4"/>
          </w:tcPr>
          <w:p w14:paraId="76C839A3" w14:textId="77777777" w:rsidR="001F5178" w:rsidRDefault="00897D89">
            <w:pPr>
              <w:pStyle w:val="TableParagraph"/>
              <w:spacing w:before="85"/>
              <w:rPr>
                <w:rFonts w:ascii="Gilroy Bold"/>
                <w:b/>
                <w:sz w:val="24"/>
              </w:rPr>
            </w:pPr>
            <w:r>
              <w:rPr>
                <w:rFonts w:ascii="Gilroy Bold"/>
                <w:b/>
                <w:color w:val="FFFFFF"/>
                <w:sz w:val="24"/>
              </w:rPr>
              <w:t>PURPOSE OF THE SESSION</w:t>
            </w:r>
          </w:p>
        </w:tc>
      </w:tr>
      <w:tr w:rsidR="001F5178" w14:paraId="62C2E9D1" w14:textId="77777777">
        <w:trPr>
          <w:trHeight w:val="761"/>
        </w:trPr>
        <w:tc>
          <w:tcPr>
            <w:tcW w:w="2970" w:type="dxa"/>
            <w:tcBorders>
              <w:top w:val="nil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206CC8CC" w14:textId="77777777" w:rsidR="001F5178" w:rsidRDefault="00897D89">
            <w:pPr>
              <w:pStyle w:val="TableParagraph"/>
              <w:spacing w:before="142"/>
              <w:rPr>
                <w:rFonts w:ascii="Gilroy ExtraBold"/>
                <w:b/>
                <w:sz w:val="21"/>
              </w:rPr>
            </w:pPr>
            <w:r>
              <w:rPr>
                <w:rFonts w:ascii="Gilroy ExtraBold"/>
                <w:b/>
                <w:color w:val="007CB0"/>
                <w:sz w:val="21"/>
              </w:rPr>
              <w:t>Setting the Stage</w:t>
            </w:r>
          </w:p>
        </w:tc>
        <w:tc>
          <w:tcPr>
            <w:tcW w:w="6930" w:type="dxa"/>
            <w:tcBorders>
              <w:top w:val="nil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085FEAE4" w14:textId="77777777" w:rsidR="001F5178" w:rsidRDefault="00897D89">
            <w:pPr>
              <w:pStyle w:val="TableParagraph"/>
              <w:spacing w:before="146" w:line="247" w:lineRule="auto"/>
              <w:ind w:left="175" w:right="291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Build </w:t>
            </w:r>
            <w:r>
              <w:rPr>
                <w:spacing w:val="-5"/>
                <w:sz w:val="21"/>
              </w:rPr>
              <w:t xml:space="preserve">community </w:t>
            </w:r>
            <w:r>
              <w:rPr>
                <w:spacing w:val="-4"/>
                <w:sz w:val="21"/>
              </w:rPr>
              <w:t xml:space="preserve">and learn about the </w:t>
            </w:r>
            <w:r>
              <w:rPr>
                <w:spacing w:val="-5"/>
                <w:sz w:val="21"/>
              </w:rPr>
              <w:t xml:space="preserve">agenda </w:t>
            </w:r>
            <w:r>
              <w:rPr>
                <w:spacing w:val="-4"/>
                <w:sz w:val="21"/>
              </w:rPr>
              <w:t xml:space="preserve">and </w:t>
            </w:r>
            <w:r>
              <w:rPr>
                <w:spacing w:val="-6"/>
                <w:sz w:val="21"/>
              </w:rPr>
              <w:t xml:space="preserve">experiences </w:t>
            </w:r>
            <w:r>
              <w:rPr>
                <w:spacing w:val="-5"/>
                <w:sz w:val="21"/>
              </w:rPr>
              <w:t xml:space="preserve">of the </w:t>
            </w:r>
            <w:r>
              <w:rPr>
                <w:spacing w:val="-9"/>
                <w:sz w:val="21"/>
              </w:rPr>
              <w:t>day.</w:t>
            </w:r>
          </w:p>
        </w:tc>
      </w:tr>
      <w:tr w:rsidR="001F5178" w14:paraId="7437A83D" w14:textId="77777777">
        <w:trPr>
          <w:trHeight w:val="761"/>
        </w:trPr>
        <w:tc>
          <w:tcPr>
            <w:tcW w:w="297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6A90F195" w14:textId="77777777" w:rsidR="001F5178" w:rsidRDefault="00897D89">
            <w:pPr>
              <w:pStyle w:val="TableParagraph"/>
              <w:spacing w:before="142" w:line="250" w:lineRule="exact"/>
              <w:rPr>
                <w:rFonts w:ascii="Gilroy ExtraBold"/>
                <w:b/>
                <w:sz w:val="21"/>
              </w:rPr>
            </w:pPr>
            <w:r>
              <w:rPr>
                <w:rFonts w:ascii="Gilroy ExtraBold"/>
                <w:b/>
                <w:color w:val="007CB0"/>
                <w:sz w:val="21"/>
              </w:rPr>
              <w:t>INTRODUCING</w:t>
            </w:r>
          </w:p>
          <w:p w14:paraId="5590C83B" w14:textId="14E8CBDF" w:rsidR="001F5178" w:rsidRDefault="00897D89">
            <w:pPr>
              <w:pStyle w:val="TableParagraph"/>
              <w:spacing w:before="0" w:line="262" w:lineRule="exact"/>
              <w:rPr>
                <w:rFonts w:ascii="Gilroy ExtraBold"/>
                <w:b/>
                <w:i/>
              </w:rPr>
            </w:pPr>
            <w:r>
              <w:rPr>
                <w:rFonts w:ascii="Gilroy ExtraBold"/>
                <w:b/>
                <w:color w:val="007CB0"/>
                <w:sz w:val="21"/>
              </w:rPr>
              <w:t xml:space="preserve">Into </w:t>
            </w:r>
            <w:r w:rsidR="00B15312">
              <w:rPr>
                <w:rFonts w:ascii="Gilroy ExtraBold"/>
                <w:b/>
                <w:color w:val="007CB0"/>
                <w:sz w:val="21"/>
              </w:rPr>
              <w:t>AGA</w:t>
            </w:r>
            <w:r>
              <w:rPr>
                <w:rFonts w:ascii="Gilroy ExtraBold"/>
                <w:b/>
                <w:color w:val="007CB0"/>
                <w:spacing w:val="-12"/>
                <w:sz w:val="21"/>
              </w:rPr>
              <w:t xml:space="preserve"> </w:t>
            </w:r>
            <w:r>
              <w:rPr>
                <w:rFonts w:ascii="Gilroy ExtraBold"/>
                <w:b/>
                <w:i/>
                <w:color w:val="007CB0"/>
              </w:rPr>
              <w:t>2020</w:t>
            </w:r>
          </w:p>
        </w:tc>
        <w:tc>
          <w:tcPr>
            <w:tcW w:w="693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2E5E56E0" w14:textId="1FE6AECD" w:rsidR="001F5178" w:rsidRDefault="00897D89">
            <w:pPr>
              <w:pStyle w:val="TableParagraph"/>
              <w:spacing w:before="107" w:line="252" w:lineRule="auto"/>
              <w:ind w:left="189" w:right="291"/>
              <w:rPr>
                <w:sz w:val="20"/>
              </w:rPr>
            </w:pPr>
            <w:r>
              <w:rPr>
                <w:sz w:val="20"/>
              </w:rPr>
              <w:t xml:space="preserve">Get to know </w:t>
            </w:r>
            <w:proofErr w:type="gramStart"/>
            <w:r>
              <w:rPr>
                <w:rFonts w:ascii="Gilroy Bold"/>
                <w:b/>
                <w:i/>
                <w:sz w:val="21"/>
              </w:rPr>
              <w:t>Into</w:t>
            </w:r>
            <w:proofErr w:type="gramEnd"/>
            <w:r>
              <w:rPr>
                <w:rFonts w:ascii="Gilroy Bold"/>
                <w:b/>
                <w:i/>
                <w:sz w:val="21"/>
              </w:rPr>
              <w:t xml:space="preserve"> </w:t>
            </w:r>
            <w:r w:rsidR="00B15312">
              <w:rPr>
                <w:rFonts w:ascii="Gilroy Bold"/>
                <w:b/>
                <w:i/>
                <w:sz w:val="21"/>
              </w:rPr>
              <w:t>AGA</w:t>
            </w:r>
            <w:r>
              <w:rPr>
                <w:sz w:val="20"/>
              </w:rPr>
              <w:t>, including an overview of the design, introduction to growth mindset, and preview of the components.</w:t>
            </w:r>
          </w:p>
        </w:tc>
      </w:tr>
      <w:tr w:rsidR="001F5178" w14:paraId="78EE4EE8" w14:textId="77777777">
        <w:trPr>
          <w:trHeight w:val="1013"/>
        </w:trPr>
        <w:tc>
          <w:tcPr>
            <w:tcW w:w="297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163E1656" w14:textId="77777777" w:rsidR="001F5178" w:rsidRDefault="00897D89">
            <w:pPr>
              <w:pStyle w:val="TableParagraph"/>
              <w:rPr>
                <w:rFonts w:ascii="Gilroy ExtraBold"/>
                <w:b/>
                <w:sz w:val="21"/>
              </w:rPr>
            </w:pPr>
            <w:r>
              <w:rPr>
                <w:rFonts w:ascii="Gilroy ExtraBold"/>
                <w:b/>
                <w:color w:val="007CB0"/>
                <w:sz w:val="21"/>
              </w:rPr>
              <w:t>Student Experience</w:t>
            </w:r>
          </w:p>
        </w:tc>
        <w:tc>
          <w:tcPr>
            <w:tcW w:w="693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66EBA38D" w14:textId="7B819009" w:rsidR="001F5178" w:rsidRDefault="00897D89">
            <w:pPr>
              <w:pStyle w:val="TableParagraph"/>
              <w:spacing w:before="136" w:line="256" w:lineRule="auto"/>
              <w:ind w:left="173" w:right="56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Experience </w:t>
            </w:r>
            <w:proofErr w:type="gramStart"/>
            <w:r>
              <w:rPr>
                <w:rFonts w:ascii="Gilroy Bold"/>
                <w:b/>
                <w:i/>
                <w:spacing w:val="-4"/>
                <w:sz w:val="21"/>
              </w:rPr>
              <w:t>Into</w:t>
            </w:r>
            <w:proofErr w:type="gramEnd"/>
            <w:r>
              <w:rPr>
                <w:rFonts w:ascii="Gilroy Bold"/>
                <w:b/>
                <w:i/>
                <w:spacing w:val="-4"/>
                <w:sz w:val="21"/>
              </w:rPr>
              <w:t xml:space="preserve"> </w:t>
            </w:r>
            <w:r w:rsidR="00B15312">
              <w:rPr>
                <w:rFonts w:ascii="Gilroy Bold"/>
                <w:b/>
                <w:i/>
                <w:spacing w:val="-4"/>
                <w:sz w:val="21"/>
              </w:rPr>
              <w:t>AGA</w:t>
            </w:r>
            <w:r>
              <w:rPr>
                <w:rFonts w:ascii="Gilroy Bold"/>
                <w:b/>
                <w:i/>
                <w:spacing w:val="-4"/>
                <w:sz w:val="21"/>
              </w:rPr>
              <w:t xml:space="preserve"> </w:t>
            </w:r>
            <w:r>
              <w:rPr>
                <w:spacing w:val="-4"/>
                <w:sz w:val="20"/>
              </w:rPr>
              <w:t xml:space="preserve">from your </w:t>
            </w:r>
            <w:r>
              <w:rPr>
                <w:spacing w:val="-5"/>
                <w:sz w:val="20"/>
              </w:rPr>
              <w:t xml:space="preserve">students' perspectives </w:t>
            </w:r>
            <w:r>
              <w:rPr>
                <w:spacing w:val="-3"/>
                <w:sz w:val="20"/>
              </w:rPr>
              <w:t xml:space="preserve">as </w:t>
            </w:r>
            <w:r>
              <w:rPr>
                <w:spacing w:val="-4"/>
                <w:sz w:val="20"/>
              </w:rPr>
              <w:t xml:space="preserve">you look </w:t>
            </w:r>
            <w:r>
              <w:rPr>
                <w:spacing w:val="-5"/>
                <w:sz w:val="20"/>
              </w:rPr>
              <w:t xml:space="preserve">at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pacing w:val="-5"/>
                <w:sz w:val="20"/>
              </w:rPr>
              <w:t xml:space="preserve">materials </w:t>
            </w:r>
            <w:r>
              <w:rPr>
                <w:spacing w:val="-4"/>
                <w:sz w:val="20"/>
              </w:rPr>
              <w:t xml:space="preserve">they will use and the </w:t>
            </w:r>
            <w:r>
              <w:rPr>
                <w:spacing w:val="-5"/>
                <w:sz w:val="20"/>
              </w:rPr>
              <w:t xml:space="preserve">learning </w:t>
            </w:r>
            <w:r>
              <w:rPr>
                <w:spacing w:val="-4"/>
                <w:sz w:val="20"/>
              </w:rPr>
              <w:t xml:space="preserve">path </w:t>
            </w:r>
            <w:r>
              <w:rPr>
                <w:spacing w:val="-5"/>
                <w:sz w:val="20"/>
              </w:rPr>
              <w:t>they'll follow to achieve success.</w:t>
            </w:r>
          </w:p>
        </w:tc>
      </w:tr>
      <w:tr w:rsidR="001F5178" w14:paraId="42E833D9" w14:textId="77777777">
        <w:trPr>
          <w:trHeight w:val="761"/>
        </w:trPr>
        <w:tc>
          <w:tcPr>
            <w:tcW w:w="297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69560FB1" w14:textId="77777777" w:rsidR="001F5178" w:rsidRDefault="00897D89">
            <w:pPr>
              <w:pStyle w:val="TableParagraph"/>
              <w:rPr>
                <w:rFonts w:ascii="Gilroy ExtraBold"/>
                <w:b/>
                <w:sz w:val="21"/>
              </w:rPr>
            </w:pPr>
            <w:r>
              <w:rPr>
                <w:rFonts w:ascii="Gilroy ExtraBold"/>
                <w:b/>
                <w:color w:val="007CB0"/>
                <w:sz w:val="21"/>
              </w:rPr>
              <w:t>Teaching and Planning</w:t>
            </w:r>
          </w:p>
        </w:tc>
        <w:tc>
          <w:tcPr>
            <w:tcW w:w="693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25A4EB6B" w14:textId="77777777" w:rsidR="001F5178" w:rsidRDefault="00897D89">
            <w:pPr>
              <w:pStyle w:val="TableParagraph"/>
              <w:spacing w:before="148" w:line="261" w:lineRule="auto"/>
              <w:ind w:left="173" w:right="29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Discover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pacing w:val="-5"/>
                <w:sz w:val="20"/>
              </w:rPr>
              <w:t xml:space="preserve">instructional </w:t>
            </w:r>
            <w:r>
              <w:rPr>
                <w:spacing w:val="-4"/>
                <w:sz w:val="20"/>
              </w:rPr>
              <w:t xml:space="preserve">flow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 xml:space="preserve">unit, </w:t>
            </w:r>
            <w:r>
              <w:rPr>
                <w:spacing w:val="-5"/>
                <w:sz w:val="20"/>
              </w:rPr>
              <w:t xml:space="preserve">module,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5"/>
                <w:sz w:val="20"/>
              </w:rPr>
              <w:t xml:space="preserve">lesson,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5"/>
                <w:sz w:val="20"/>
              </w:rPr>
              <w:t xml:space="preserve">explore </w:t>
            </w:r>
            <w:r>
              <w:rPr>
                <w:spacing w:val="-4"/>
                <w:sz w:val="20"/>
              </w:rPr>
              <w:t xml:space="preserve">the tools and </w:t>
            </w:r>
            <w:r>
              <w:rPr>
                <w:spacing w:val="-5"/>
                <w:sz w:val="20"/>
              </w:rPr>
              <w:t xml:space="preserve">resources you'll </w:t>
            </w:r>
            <w:r>
              <w:rPr>
                <w:spacing w:val="-4"/>
                <w:sz w:val="20"/>
              </w:rPr>
              <w:t xml:space="preserve">use </w:t>
            </w:r>
            <w:r>
              <w:rPr>
                <w:spacing w:val="-3"/>
                <w:sz w:val="20"/>
              </w:rPr>
              <w:t xml:space="preserve">to </w:t>
            </w:r>
            <w:r>
              <w:rPr>
                <w:spacing w:val="-4"/>
                <w:sz w:val="20"/>
              </w:rPr>
              <w:t xml:space="preserve">plan, teach and </w:t>
            </w:r>
            <w:r>
              <w:rPr>
                <w:spacing w:val="-5"/>
                <w:sz w:val="20"/>
              </w:rPr>
              <w:t>monitor progress.</w:t>
            </w:r>
          </w:p>
        </w:tc>
      </w:tr>
      <w:tr w:rsidR="001F5178" w14:paraId="66E8BEA4" w14:textId="77777777">
        <w:trPr>
          <w:trHeight w:val="761"/>
        </w:trPr>
        <w:tc>
          <w:tcPr>
            <w:tcW w:w="297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6119ECB6" w14:textId="77777777" w:rsidR="001F5178" w:rsidRDefault="00897D89">
            <w:pPr>
              <w:pStyle w:val="TableParagraph"/>
              <w:rPr>
                <w:rFonts w:ascii="Gilroy ExtraBold"/>
                <w:b/>
                <w:sz w:val="21"/>
              </w:rPr>
            </w:pPr>
            <w:r>
              <w:rPr>
                <w:rFonts w:ascii="Gilroy ExtraBold"/>
                <w:b/>
                <w:color w:val="007CB0"/>
                <w:sz w:val="21"/>
              </w:rPr>
              <w:t>Assessment</w:t>
            </w:r>
          </w:p>
        </w:tc>
        <w:tc>
          <w:tcPr>
            <w:tcW w:w="693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3A9AFD00" w14:textId="52615C69" w:rsidR="001F5178" w:rsidRDefault="00897D89">
            <w:pPr>
              <w:pStyle w:val="TableParagraph"/>
              <w:spacing w:before="131" w:line="252" w:lineRule="auto"/>
              <w:ind w:left="173" w:right="29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Examine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rFonts w:ascii="Gilroy Bold"/>
                <w:b/>
                <w:i/>
                <w:spacing w:val="-4"/>
                <w:sz w:val="21"/>
              </w:rPr>
              <w:t xml:space="preserve">Into </w:t>
            </w:r>
            <w:r w:rsidR="00B15312">
              <w:rPr>
                <w:rFonts w:ascii="Gilroy Bold"/>
                <w:b/>
                <w:i/>
                <w:spacing w:val="-4"/>
                <w:sz w:val="21"/>
              </w:rPr>
              <w:t>AGA</w:t>
            </w:r>
            <w:r>
              <w:rPr>
                <w:rFonts w:ascii="Gilroy Bold"/>
                <w:b/>
                <w:i/>
                <w:spacing w:val="-4"/>
                <w:sz w:val="21"/>
              </w:rPr>
              <w:t xml:space="preserve"> </w:t>
            </w:r>
            <w:r>
              <w:rPr>
                <w:spacing w:val="-5"/>
                <w:sz w:val="20"/>
              </w:rPr>
              <w:t xml:space="preserve">assessments </w:t>
            </w:r>
            <w:r>
              <w:rPr>
                <w:spacing w:val="-4"/>
                <w:sz w:val="20"/>
              </w:rPr>
              <w:t xml:space="preserve">and </w:t>
            </w:r>
            <w:proofErr w:type="gramStart"/>
            <w:r>
              <w:rPr>
                <w:spacing w:val="-5"/>
                <w:sz w:val="20"/>
              </w:rPr>
              <w:t xml:space="preserve">reports, </w:t>
            </w:r>
            <w:r>
              <w:rPr>
                <w:spacing w:val="-4"/>
                <w:sz w:val="20"/>
              </w:rPr>
              <w:t>and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determine how you'll </w:t>
            </w:r>
            <w:r>
              <w:rPr>
                <w:spacing w:val="-4"/>
                <w:sz w:val="20"/>
              </w:rPr>
              <w:t xml:space="preserve">use data </w:t>
            </w:r>
            <w:r>
              <w:rPr>
                <w:spacing w:val="-3"/>
                <w:sz w:val="20"/>
              </w:rPr>
              <w:t xml:space="preserve">to </w:t>
            </w:r>
            <w:r>
              <w:rPr>
                <w:spacing w:val="-4"/>
                <w:sz w:val="20"/>
              </w:rPr>
              <w:t xml:space="preserve">drive </w:t>
            </w:r>
            <w:r>
              <w:rPr>
                <w:spacing w:val="-5"/>
                <w:sz w:val="20"/>
              </w:rPr>
              <w:t>effective instruction.</w:t>
            </w:r>
          </w:p>
        </w:tc>
      </w:tr>
      <w:tr w:rsidR="001F5178" w14:paraId="23747672" w14:textId="77777777">
        <w:trPr>
          <w:trHeight w:val="761"/>
        </w:trPr>
        <w:tc>
          <w:tcPr>
            <w:tcW w:w="297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09E68B06" w14:textId="77777777" w:rsidR="001F5178" w:rsidRDefault="00897D89">
            <w:pPr>
              <w:pStyle w:val="TableParagraph"/>
              <w:rPr>
                <w:rFonts w:ascii="Gilroy ExtraBold"/>
                <w:b/>
                <w:sz w:val="21"/>
              </w:rPr>
            </w:pPr>
            <w:r>
              <w:rPr>
                <w:rFonts w:ascii="Gilroy ExtraBold"/>
                <w:b/>
                <w:color w:val="007CB0"/>
                <w:sz w:val="21"/>
              </w:rPr>
              <w:t>First Steps for Success</w:t>
            </w:r>
          </w:p>
        </w:tc>
        <w:tc>
          <w:tcPr>
            <w:tcW w:w="693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6C7018CE" w14:textId="3C80F7A9" w:rsidR="001F5178" w:rsidRDefault="00897D89">
            <w:pPr>
              <w:pStyle w:val="TableParagraph"/>
              <w:spacing w:before="147" w:line="247" w:lineRule="auto"/>
              <w:ind w:left="173" w:right="561"/>
              <w:rPr>
                <w:rFonts w:ascii="Gilroy Bold"/>
                <w:b/>
                <w:sz w:val="20"/>
              </w:rPr>
            </w:pPr>
            <w:r>
              <w:rPr>
                <w:sz w:val="20"/>
              </w:rPr>
              <w:t xml:space="preserve">Use tools like the Getting Started Road map to guide and support you as you plan your first lessons using </w:t>
            </w:r>
            <w:proofErr w:type="gramStart"/>
            <w:r>
              <w:rPr>
                <w:rFonts w:ascii="Gilroy Bold"/>
                <w:b/>
                <w:i/>
                <w:sz w:val="21"/>
              </w:rPr>
              <w:t>Into</w:t>
            </w:r>
            <w:proofErr w:type="gramEnd"/>
            <w:r>
              <w:rPr>
                <w:rFonts w:ascii="Gilroy Bold"/>
                <w:b/>
                <w:i/>
                <w:sz w:val="21"/>
              </w:rPr>
              <w:t xml:space="preserve"> </w:t>
            </w:r>
            <w:r w:rsidR="00B15312">
              <w:rPr>
                <w:rFonts w:ascii="Gilroy Bold"/>
                <w:b/>
                <w:i/>
                <w:sz w:val="21"/>
              </w:rPr>
              <w:t>AGA</w:t>
            </w:r>
            <w:r>
              <w:rPr>
                <w:rFonts w:ascii="Gilroy Bold"/>
                <w:b/>
                <w:sz w:val="20"/>
              </w:rPr>
              <w:t>.</w:t>
            </w:r>
          </w:p>
        </w:tc>
      </w:tr>
      <w:tr w:rsidR="001F5178" w14:paraId="7805B697" w14:textId="77777777">
        <w:trPr>
          <w:trHeight w:val="756"/>
        </w:trPr>
        <w:tc>
          <w:tcPr>
            <w:tcW w:w="297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45F0C490" w14:textId="77777777" w:rsidR="001F5178" w:rsidRDefault="00897D89">
            <w:pPr>
              <w:pStyle w:val="TableParagraph"/>
              <w:rPr>
                <w:rFonts w:ascii="Gilroy ExtraBold"/>
                <w:b/>
                <w:sz w:val="21"/>
              </w:rPr>
            </w:pPr>
            <w:r>
              <w:rPr>
                <w:rFonts w:ascii="Gilroy ExtraBold"/>
                <w:b/>
                <w:color w:val="007CB0"/>
                <w:sz w:val="21"/>
              </w:rPr>
              <w:t>Closing</w:t>
            </w:r>
          </w:p>
        </w:tc>
        <w:tc>
          <w:tcPr>
            <w:tcW w:w="6930" w:type="dxa"/>
            <w:tcBorders>
              <w:top w:val="single" w:sz="4" w:space="0" w:color="3F9DC4"/>
              <w:left w:val="single" w:sz="4" w:space="0" w:color="3F9DC4"/>
              <w:bottom w:val="single" w:sz="4" w:space="0" w:color="3F9DC4"/>
              <w:right w:val="single" w:sz="4" w:space="0" w:color="3F9DC4"/>
            </w:tcBorders>
          </w:tcPr>
          <w:p w14:paraId="40B1974A" w14:textId="77777777" w:rsidR="001F5178" w:rsidRDefault="00897D89">
            <w:pPr>
              <w:pStyle w:val="TableParagraph"/>
              <w:spacing w:before="151" w:line="261" w:lineRule="auto"/>
              <w:ind w:left="173" w:right="29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Reﬂect </w:t>
            </w:r>
            <w:r>
              <w:rPr>
                <w:spacing w:val="-3"/>
                <w:sz w:val="20"/>
              </w:rPr>
              <w:t xml:space="preserve">on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pacing w:val="-5"/>
                <w:sz w:val="20"/>
              </w:rPr>
              <w:t xml:space="preserve">experiences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pacing w:val="-4"/>
                <w:sz w:val="20"/>
              </w:rPr>
              <w:t xml:space="preserve">the day and the ways </w:t>
            </w:r>
            <w:r>
              <w:rPr>
                <w:spacing w:val="-3"/>
                <w:sz w:val="20"/>
              </w:rPr>
              <w:t xml:space="preserve">in </w:t>
            </w:r>
            <w:r>
              <w:rPr>
                <w:spacing w:val="-4"/>
                <w:sz w:val="20"/>
              </w:rPr>
              <w:t xml:space="preserve">which they </w:t>
            </w:r>
            <w:r>
              <w:rPr>
                <w:spacing w:val="-5"/>
                <w:sz w:val="20"/>
              </w:rPr>
              <w:t>positively impact classroom instruction.</w:t>
            </w:r>
          </w:p>
        </w:tc>
      </w:tr>
    </w:tbl>
    <w:p w14:paraId="0E3AAE5A" w14:textId="77777777" w:rsidR="00897D89" w:rsidRDefault="00897D89"/>
    <w:sectPr w:rsidR="00897D89">
      <w:type w:val="continuous"/>
      <w:pgSz w:w="12240" w:h="15840"/>
      <w:pgMar w:top="360" w:right="9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">
    <w:altName w:val="Gilroy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Bold">
    <w:altName w:val="Gilroy Bold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Bold Italic">
    <w:altName w:val="Gilroy Bold Italic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ExtraBold">
    <w:altName w:val="Gilroy ExtraBold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0CBB"/>
    <w:multiLevelType w:val="hybridMultilevel"/>
    <w:tmpl w:val="03344EFC"/>
    <w:lvl w:ilvl="0" w:tplc="89202002">
      <w:numFmt w:val="bullet"/>
      <w:lvlText w:val="•"/>
      <w:lvlJc w:val="left"/>
      <w:pPr>
        <w:ind w:left="1290" w:hanging="281"/>
      </w:pPr>
      <w:rPr>
        <w:rFonts w:ascii="Franklin Gothic Book" w:eastAsia="Franklin Gothic Book" w:hAnsi="Franklin Gothic Book" w:cs="Franklin Gothic Book" w:hint="default"/>
        <w:color w:val="007CB0"/>
        <w:w w:val="100"/>
        <w:sz w:val="32"/>
        <w:szCs w:val="32"/>
        <w:lang w:val="en-US" w:eastAsia="en-US" w:bidi="en-US"/>
      </w:rPr>
    </w:lvl>
    <w:lvl w:ilvl="1" w:tplc="5C801026">
      <w:numFmt w:val="bullet"/>
      <w:lvlText w:val="•"/>
      <w:lvlJc w:val="left"/>
      <w:pPr>
        <w:ind w:left="2242" w:hanging="281"/>
      </w:pPr>
      <w:rPr>
        <w:rFonts w:hint="default"/>
        <w:lang w:val="en-US" w:eastAsia="en-US" w:bidi="en-US"/>
      </w:rPr>
    </w:lvl>
    <w:lvl w:ilvl="2" w:tplc="DF183098">
      <w:numFmt w:val="bullet"/>
      <w:lvlText w:val="•"/>
      <w:lvlJc w:val="left"/>
      <w:pPr>
        <w:ind w:left="3184" w:hanging="281"/>
      </w:pPr>
      <w:rPr>
        <w:rFonts w:hint="default"/>
        <w:lang w:val="en-US" w:eastAsia="en-US" w:bidi="en-US"/>
      </w:rPr>
    </w:lvl>
    <w:lvl w:ilvl="3" w:tplc="81865688">
      <w:numFmt w:val="bullet"/>
      <w:lvlText w:val="•"/>
      <w:lvlJc w:val="left"/>
      <w:pPr>
        <w:ind w:left="4126" w:hanging="281"/>
      </w:pPr>
      <w:rPr>
        <w:rFonts w:hint="default"/>
        <w:lang w:val="en-US" w:eastAsia="en-US" w:bidi="en-US"/>
      </w:rPr>
    </w:lvl>
    <w:lvl w:ilvl="4" w:tplc="2CC03E60">
      <w:numFmt w:val="bullet"/>
      <w:lvlText w:val="•"/>
      <w:lvlJc w:val="left"/>
      <w:pPr>
        <w:ind w:left="5068" w:hanging="281"/>
      </w:pPr>
      <w:rPr>
        <w:rFonts w:hint="default"/>
        <w:lang w:val="en-US" w:eastAsia="en-US" w:bidi="en-US"/>
      </w:rPr>
    </w:lvl>
    <w:lvl w:ilvl="5" w:tplc="4BFC5888">
      <w:numFmt w:val="bullet"/>
      <w:lvlText w:val="•"/>
      <w:lvlJc w:val="left"/>
      <w:pPr>
        <w:ind w:left="6010" w:hanging="281"/>
      </w:pPr>
      <w:rPr>
        <w:rFonts w:hint="default"/>
        <w:lang w:val="en-US" w:eastAsia="en-US" w:bidi="en-US"/>
      </w:rPr>
    </w:lvl>
    <w:lvl w:ilvl="6" w:tplc="D75A3432">
      <w:numFmt w:val="bullet"/>
      <w:lvlText w:val="•"/>
      <w:lvlJc w:val="left"/>
      <w:pPr>
        <w:ind w:left="6952" w:hanging="281"/>
      </w:pPr>
      <w:rPr>
        <w:rFonts w:hint="default"/>
        <w:lang w:val="en-US" w:eastAsia="en-US" w:bidi="en-US"/>
      </w:rPr>
    </w:lvl>
    <w:lvl w:ilvl="7" w:tplc="AFC48EFC">
      <w:numFmt w:val="bullet"/>
      <w:lvlText w:val="•"/>
      <w:lvlJc w:val="left"/>
      <w:pPr>
        <w:ind w:left="7894" w:hanging="281"/>
      </w:pPr>
      <w:rPr>
        <w:rFonts w:hint="default"/>
        <w:lang w:val="en-US" w:eastAsia="en-US" w:bidi="en-US"/>
      </w:rPr>
    </w:lvl>
    <w:lvl w:ilvl="8" w:tplc="036A72E6">
      <w:numFmt w:val="bullet"/>
      <w:lvlText w:val="•"/>
      <w:lvlJc w:val="left"/>
      <w:pPr>
        <w:ind w:left="8836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178"/>
    <w:rsid w:val="00114965"/>
    <w:rsid w:val="001F5178"/>
    <w:rsid w:val="004E0019"/>
    <w:rsid w:val="00897D89"/>
    <w:rsid w:val="00B1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B8658A"/>
  <w15:docId w15:val="{CCCCFC57-B011-4CF0-BD49-7AADE8BB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roy" w:eastAsia="Gilroy" w:hAnsi="Gilroy" w:cs="Gilroy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25" w:hanging="281"/>
    </w:pPr>
  </w:style>
  <w:style w:type="paragraph" w:customStyle="1" w:styleId="TableParagraph">
    <w:name w:val="Table Paragraph"/>
    <w:basedOn w:val="Normal"/>
    <w:uiPriority w:val="1"/>
    <w:qFormat/>
    <w:pPr>
      <w:spacing w:before="140"/>
      <w:ind w:left="1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Coudriet, Rebekah</cp:lastModifiedBy>
  <cp:revision>4</cp:revision>
  <dcterms:created xsi:type="dcterms:W3CDTF">2020-02-26T18:23:00Z</dcterms:created>
  <dcterms:modified xsi:type="dcterms:W3CDTF">2020-02-26T18:28:00Z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2020-02-07T00:00:00Z</vt:filetime>
  </property>
</Properties>
</file>